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2CF4" w:rsidRDefault="003614DD">
      <w:r>
        <w:t xml:space="preserve">Er is </w:t>
      </w:r>
      <w:r w:rsidR="00AB2CF4">
        <w:t xml:space="preserve"> voor het zoekgebied 5A Diemerscheg gekozen met hierin twee volkstuinparken met verblijfsfunctie Linnaeus en </w:t>
      </w:r>
      <w:proofErr w:type="spellStart"/>
      <w:r w:rsidR="00AB2CF4">
        <w:t>Frankenda</w:t>
      </w:r>
      <w:r>
        <w:t>l</w:t>
      </w:r>
      <w:proofErr w:type="spellEnd"/>
      <w:r>
        <w:t xml:space="preserve"> op basis van weging van een beoordelingskader.</w:t>
      </w:r>
    </w:p>
    <w:p w:rsidR="00AB2CF4" w:rsidRDefault="00AB2CF4"/>
    <w:p w:rsidR="00A257D8" w:rsidRPr="00B13223" w:rsidRDefault="00BF3D59">
      <w:pPr>
        <w:rPr>
          <w:b/>
          <w:bCs/>
        </w:rPr>
      </w:pPr>
      <w:r w:rsidRPr="00B13223">
        <w:rPr>
          <w:b/>
          <w:bCs/>
        </w:rPr>
        <w:t xml:space="preserve">Na lezing van het beoordelingskader kan men </w:t>
      </w:r>
      <w:r w:rsidR="003614DD">
        <w:rPr>
          <w:b/>
          <w:bCs/>
        </w:rPr>
        <w:t xml:space="preserve">echter </w:t>
      </w:r>
      <w:r w:rsidRPr="00B13223">
        <w:rPr>
          <w:b/>
          <w:bCs/>
        </w:rPr>
        <w:t xml:space="preserve">slechts tot </w:t>
      </w:r>
      <w:r w:rsidR="00A257D8" w:rsidRPr="00B13223">
        <w:rPr>
          <w:b/>
          <w:bCs/>
        </w:rPr>
        <w:t>één</w:t>
      </w:r>
      <w:r w:rsidRPr="00B13223">
        <w:rPr>
          <w:b/>
          <w:bCs/>
        </w:rPr>
        <w:t xml:space="preserve"> conclusie komen. </w:t>
      </w:r>
    </w:p>
    <w:p w:rsidR="00AB2CF4" w:rsidRPr="00B13223" w:rsidRDefault="00BF3D59">
      <w:pPr>
        <w:rPr>
          <w:b/>
          <w:bCs/>
        </w:rPr>
      </w:pPr>
      <w:r w:rsidRPr="00B13223">
        <w:rPr>
          <w:b/>
          <w:bCs/>
        </w:rPr>
        <w:t xml:space="preserve">Het zoekgebied 5a is niet geschikt voor </w:t>
      </w:r>
      <w:r w:rsidR="00AB2CF4" w:rsidRPr="00B13223">
        <w:rPr>
          <w:b/>
          <w:bCs/>
        </w:rPr>
        <w:t xml:space="preserve">inpassing </w:t>
      </w:r>
      <w:r w:rsidRPr="00B13223">
        <w:rPr>
          <w:b/>
          <w:bCs/>
        </w:rPr>
        <w:t xml:space="preserve">van </w:t>
      </w:r>
      <w:r w:rsidR="00AB2CF4" w:rsidRPr="00B13223">
        <w:rPr>
          <w:b/>
          <w:bCs/>
        </w:rPr>
        <w:t>windturbines</w:t>
      </w:r>
      <w:r w:rsidRPr="00B13223">
        <w:rPr>
          <w:b/>
          <w:bCs/>
        </w:rPr>
        <w:t>.</w:t>
      </w:r>
    </w:p>
    <w:p w:rsidR="00BF3D59" w:rsidRPr="00B13223" w:rsidRDefault="00BF3D59">
      <w:pPr>
        <w:rPr>
          <w:b/>
          <w:bCs/>
        </w:rPr>
      </w:pPr>
    </w:p>
    <w:p w:rsidR="00BF3D59" w:rsidRDefault="00BF3D59">
      <w:r>
        <w:t xml:space="preserve">Uw oordelen </w:t>
      </w:r>
      <w:r w:rsidR="00B13223">
        <w:t xml:space="preserve">uit het Plan MER </w:t>
      </w:r>
      <w:r>
        <w:t>zijn:</w:t>
      </w:r>
    </w:p>
    <w:p w:rsidR="00AB2CF4" w:rsidRPr="00EE4FFF" w:rsidRDefault="00AB2CF4" w:rsidP="00AB2CF4">
      <w:pPr>
        <w:pStyle w:val="Lijstalinea"/>
        <w:numPr>
          <w:ilvl w:val="0"/>
          <w:numId w:val="2"/>
        </w:numPr>
        <w:ind w:left="360"/>
        <w:rPr>
          <w:color w:val="2F5496" w:themeColor="accent1" w:themeShade="BF"/>
        </w:rPr>
      </w:pPr>
      <w:r>
        <w:t xml:space="preserve">Dit zoekgebied bevindt zich in een tuinpark waardoor de waarde en beleving van het gebied negatief wordt </w:t>
      </w:r>
      <w:r w:rsidR="00EE4FFF">
        <w:t>beïnvloed</w:t>
      </w:r>
      <w:r>
        <w:t>.</w:t>
      </w:r>
      <w:r w:rsidR="00EE4FFF">
        <w:t xml:space="preserve"> </w:t>
      </w:r>
      <w:r w:rsidR="00EE4FFF" w:rsidRPr="00EE4FFF">
        <w:rPr>
          <w:color w:val="2F5496" w:themeColor="accent1" w:themeShade="BF"/>
        </w:rPr>
        <w:t>Het hebben van een volkstuin is gebaseerd op de waa</w:t>
      </w:r>
      <w:r w:rsidR="00EE4FFF">
        <w:rPr>
          <w:color w:val="2F5496" w:themeColor="accent1" w:themeShade="BF"/>
        </w:rPr>
        <w:t>r</w:t>
      </w:r>
      <w:r w:rsidR="00EE4FFF" w:rsidRPr="00EE4FFF">
        <w:rPr>
          <w:color w:val="2F5496" w:themeColor="accent1" w:themeShade="BF"/>
        </w:rPr>
        <w:t xml:space="preserve">de en beleving van het </w:t>
      </w:r>
      <w:r w:rsidR="00EE4FFF">
        <w:rPr>
          <w:color w:val="2F5496" w:themeColor="accent1" w:themeShade="BF"/>
        </w:rPr>
        <w:t>groen</w:t>
      </w:r>
      <w:r w:rsidR="00EE4FFF" w:rsidRPr="00EE4FFF">
        <w:rPr>
          <w:color w:val="2F5496" w:themeColor="accent1" w:themeShade="BF"/>
        </w:rPr>
        <w:t xml:space="preserve">. </w:t>
      </w:r>
      <w:r w:rsidR="00EE4FFF">
        <w:rPr>
          <w:color w:val="2F5496" w:themeColor="accent1" w:themeShade="BF"/>
        </w:rPr>
        <w:t xml:space="preserve">Hierdoor wordt het levensgeluk van tuinders negatief beïnvloed. </w:t>
      </w:r>
    </w:p>
    <w:p w:rsidR="00AB2CF4" w:rsidRDefault="00AB2CF4" w:rsidP="00AB2CF4"/>
    <w:p w:rsidR="00AB2CF4" w:rsidRPr="00EE4FFF" w:rsidRDefault="00AB2CF4" w:rsidP="00AB2CF4">
      <w:pPr>
        <w:pStyle w:val="Lijstalinea"/>
        <w:numPr>
          <w:ilvl w:val="0"/>
          <w:numId w:val="2"/>
        </w:numPr>
        <w:ind w:left="360"/>
        <w:rPr>
          <w:color w:val="2F5496" w:themeColor="accent1" w:themeShade="BF"/>
        </w:rPr>
      </w:pPr>
      <w:r>
        <w:t>De onderzoeksopstelling past niet bij de dimensies van het landschap</w:t>
      </w:r>
      <w:r w:rsidR="00EE4FFF">
        <w:t xml:space="preserve">. </w:t>
      </w:r>
      <w:r w:rsidR="00EE4FFF" w:rsidRPr="00EE4FFF">
        <w:rPr>
          <w:color w:val="2F5496" w:themeColor="accent1" w:themeShade="BF"/>
        </w:rPr>
        <w:t>In het</w:t>
      </w:r>
      <w:r w:rsidR="00EE4FFF">
        <w:rPr>
          <w:color w:val="2F5496" w:themeColor="accent1" w:themeShade="BF"/>
        </w:rPr>
        <w:t xml:space="preserve"> huidige</w:t>
      </w:r>
      <w:r w:rsidR="00EE4FFF" w:rsidRPr="00EE4FFF">
        <w:rPr>
          <w:color w:val="2F5496" w:themeColor="accent1" w:themeShade="BF"/>
        </w:rPr>
        <w:t xml:space="preserve"> bestemmingsplan is zelfs de hoogte van gebouwen gelimiteerd tot enkele meters en mag er </w:t>
      </w:r>
      <w:r w:rsidR="00EE4FFF">
        <w:rPr>
          <w:color w:val="2F5496" w:themeColor="accent1" w:themeShade="BF"/>
        </w:rPr>
        <w:t xml:space="preserve">bv. </w:t>
      </w:r>
      <w:r w:rsidR="00EE4FFF" w:rsidRPr="00EE4FFF">
        <w:rPr>
          <w:color w:val="2F5496" w:themeColor="accent1" w:themeShade="BF"/>
        </w:rPr>
        <w:t>geen zendmast geplaatst worden.</w:t>
      </w:r>
    </w:p>
    <w:p w:rsidR="00AB2CF4" w:rsidRDefault="00AB2CF4" w:rsidP="00AB2CF4">
      <w:pPr>
        <w:pStyle w:val="Lijstalinea"/>
      </w:pPr>
    </w:p>
    <w:p w:rsidR="00AB2CF4" w:rsidRPr="00EE4FFF" w:rsidRDefault="00AB2CF4" w:rsidP="00AB2CF4">
      <w:pPr>
        <w:pStyle w:val="Lijstalinea"/>
        <w:numPr>
          <w:ilvl w:val="0"/>
          <w:numId w:val="2"/>
        </w:numPr>
        <w:ind w:left="360"/>
        <w:rPr>
          <w:color w:val="2F5496" w:themeColor="accent1" w:themeShade="BF"/>
        </w:rPr>
      </w:pPr>
      <w:r>
        <w:t>Het alternatief sluit niet volledig aan op de landschappelijke lijnen (structuren). Hieronder wordt verstaan dat de windturbines van h</w:t>
      </w:r>
      <w:r w:rsidR="00EE4FFF">
        <w:t>e</w:t>
      </w:r>
      <w:r>
        <w:t>t alternatief net afwijken van de richting van de hoofdstructuren van het landschap</w:t>
      </w:r>
      <w:r w:rsidR="00EE4FFF">
        <w:t xml:space="preserve">. </w:t>
      </w:r>
      <w:r w:rsidR="00EE4FFF" w:rsidRPr="00EE4FFF">
        <w:rPr>
          <w:color w:val="2F5496" w:themeColor="accent1" w:themeShade="BF"/>
        </w:rPr>
        <w:t>Het kwaliteitskenmerk van de erkenning tot B</w:t>
      </w:r>
      <w:r w:rsidR="00B13223">
        <w:rPr>
          <w:color w:val="2F5496" w:themeColor="accent1" w:themeShade="BF"/>
        </w:rPr>
        <w:t xml:space="preserve">ijzonder </w:t>
      </w:r>
      <w:r w:rsidR="00EE4FFF" w:rsidRPr="00EE4FFF">
        <w:rPr>
          <w:color w:val="2F5496" w:themeColor="accent1" w:themeShade="BF"/>
        </w:rPr>
        <w:t>P</w:t>
      </w:r>
      <w:r w:rsidR="00B13223">
        <w:rPr>
          <w:color w:val="2F5496" w:themeColor="accent1" w:themeShade="BF"/>
        </w:rPr>
        <w:t xml:space="preserve">rovinciaal </w:t>
      </w:r>
      <w:r w:rsidR="00EE4FFF" w:rsidRPr="00EE4FFF">
        <w:rPr>
          <w:color w:val="2F5496" w:themeColor="accent1" w:themeShade="BF"/>
        </w:rPr>
        <w:t>L</w:t>
      </w:r>
      <w:r w:rsidR="00B13223">
        <w:rPr>
          <w:color w:val="2F5496" w:themeColor="accent1" w:themeShade="BF"/>
        </w:rPr>
        <w:t>andschap</w:t>
      </w:r>
      <w:r w:rsidR="00EE4FFF" w:rsidRPr="00EE4FFF">
        <w:rPr>
          <w:color w:val="2F5496" w:themeColor="accent1" w:themeShade="BF"/>
        </w:rPr>
        <w:t xml:space="preserve"> is gebaseerd op de verkavelingslijnen in een wijds landschap. Tot zelfs de sloten en paden van Linnaeus zijn in d</w:t>
      </w:r>
      <w:r w:rsidR="0044386D">
        <w:rPr>
          <w:color w:val="2F5496" w:themeColor="accent1" w:themeShade="BF"/>
        </w:rPr>
        <w:t>i</w:t>
      </w:r>
      <w:r w:rsidR="00EE4FFF" w:rsidRPr="00EE4FFF">
        <w:rPr>
          <w:color w:val="2F5496" w:themeColor="accent1" w:themeShade="BF"/>
        </w:rPr>
        <w:t xml:space="preserve">e lijnen aangelegd. </w:t>
      </w:r>
      <w:r w:rsidR="00B13223">
        <w:rPr>
          <w:color w:val="2F5496" w:themeColor="accent1" w:themeShade="BF"/>
        </w:rPr>
        <w:t>Ook het Amsterdam-Rijnkanaal is BPL door de opgaande lijnen van de dijken.</w:t>
      </w:r>
    </w:p>
    <w:p w:rsidR="00AB2CF4" w:rsidRDefault="00AB2CF4" w:rsidP="00AB2CF4">
      <w:pPr>
        <w:pStyle w:val="Lijstalinea"/>
      </w:pPr>
    </w:p>
    <w:p w:rsidR="00AB2CF4" w:rsidRDefault="00AB2CF4" w:rsidP="00AB2CF4">
      <w:pPr>
        <w:pStyle w:val="Lijstalinea"/>
        <w:numPr>
          <w:ilvl w:val="0"/>
          <w:numId w:val="2"/>
        </w:numPr>
        <w:ind w:left="360"/>
      </w:pPr>
      <w:r>
        <w:t>Het zoekgebied doet afbre</w:t>
      </w:r>
      <w:r w:rsidR="00EE4FFF">
        <w:t>u</w:t>
      </w:r>
      <w:r>
        <w:t>k aan het landschapstype omdat het toepassen van wind</w:t>
      </w:r>
      <w:r w:rsidR="00EE4FFF">
        <w:t xml:space="preserve"> afbreuk doet aan de kwaliteiten/waarden van het landschap</w:t>
      </w:r>
      <w:r w:rsidR="00E4775B">
        <w:t>, zoals openheid en stilte gebied. Dit betreft ook zoekgebieden die buiten een landschap type staan met deze waarden maar door hun formaat wel een negatieve invloed heeft op dit landschapstype.</w:t>
      </w:r>
    </w:p>
    <w:p w:rsidR="00EE4FFF" w:rsidRDefault="00EE4FFF" w:rsidP="00EE4FFF">
      <w:pPr>
        <w:pStyle w:val="Lijstalinea"/>
      </w:pPr>
    </w:p>
    <w:p w:rsidR="00EE4FFF" w:rsidRDefault="00E4775B" w:rsidP="00AB2CF4">
      <w:pPr>
        <w:pStyle w:val="Lijstalinea"/>
        <w:numPr>
          <w:ilvl w:val="0"/>
          <w:numId w:val="2"/>
        </w:numPr>
        <w:ind w:left="360"/>
      </w:pPr>
      <w:r>
        <w:t>Het zoekgebied bevindt zich in de Scheggenstructuur waardoor de waarde en beleving negatief wordt beïnvloed.  Immers windturbines passen beter bij een grootschalig, statisch en industrieel landschap dan bij een kleinschalig  en natuurrijk landschap.</w:t>
      </w:r>
    </w:p>
    <w:p w:rsidR="00E4775B" w:rsidRDefault="00E4775B" w:rsidP="00E4775B">
      <w:pPr>
        <w:pStyle w:val="Lijstalinea"/>
      </w:pPr>
    </w:p>
    <w:p w:rsidR="00E4775B" w:rsidRDefault="00E4775B" w:rsidP="00AB2CF4">
      <w:pPr>
        <w:pStyle w:val="Lijstalinea"/>
        <w:numPr>
          <w:ilvl w:val="0"/>
          <w:numId w:val="2"/>
        </w:numPr>
        <w:ind w:left="360"/>
      </w:pPr>
      <w:r>
        <w:t xml:space="preserve">Het zoekgebied is gelegen tussen de 1 en 2 km van het Unesco erfgoed waardoor </w:t>
      </w:r>
      <w:proofErr w:type="gramStart"/>
      <w:r>
        <w:t>het afbreuk</w:t>
      </w:r>
      <w:proofErr w:type="gramEnd"/>
      <w:r>
        <w:t xml:space="preserve"> doet aan de karakteristieken van het erfgoed.</w:t>
      </w:r>
    </w:p>
    <w:p w:rsidR="00E4775B" w:rsidRDefault="00E4775B" w:rsidP="00E4775B">
      <w:pPr>
        <w:pStyle w:val="Lijstalinea"/>
      </w:pPr>
    </w:p>
    <w:p w:rsidR="00E4775B" w:rsidRDefault="00E4775B" w:rsidP="00AB2CF4">
      <w:pPr>
        <w:pStyle w:val="Lijstalinea"/>
        <w:numPr>
          <w:ilvl w:val="0"/>
          <w:numId w:val="2"/>
        </w:numPr>
        <w:ind w:left="360"/>
      </w:pPr>
      <w:r>
        <w:t xml:space="preserve">Het zoekgebied bevindt zich in het bijzonder provinciaal landschap (BPL) en tast daardoor de kernkwaliteiten aan. </w:t>
      </w:r>
    </w:p>
    <w:p w:rsidR="0044386D" w:rsidRDefault="0044386D" w:rsidP="0044386D">
      <w:pPr>
        <w:pStyle w:val="Lijstalinea"/>
      </w:pPr>
    </w:p>
    <w:p w:rsidR="00917A72" w:rsidRDefault="00917A72" w:rsidP="00AB2CF4">
      <w:pPr>
        <w:pStyle w:val="Lijstalinea"/>
        <w:numPr>
          <w:ilvl w:val="0"/>
          <w:numId w:val="2"/>
        </w:numPr>
        <w:ind w:left="360"/>
      </w:pPr>
      <w:r>
        <w:t xml:space="preserve">Externe veiligheid: De volkstuinhuisjes zijn wel aangemerkt als kwetsbare objecten, </w:t>
      </w:r>
    </w:p>
    <w:p w:rsidR="00917A72" w:rsidRDefault="00917A72" w:rsidP="00917A72">
      <w:pPr>
        <w:pStyle w:val="Lijstalinea"/>
      </w:pPr>
    </w:p>
    <w:p w:rsidR="0044386D" w:rsidRPr="00B13223" w:rsidRDefault="00917A72" w:rsidP="00917A72">
      <w:pPr>
        <w:pStyle w:val="Lijstalinea"/>
        <w:numPr>
          <w:ilvl w:val="1"/>
          <w:numId w:val="2"/>
        </w:numPr>
        <w:rPr>
          <w:color w:val="2F5496" w:themeColor="accent1" w:themeShade="BF"/>
        </w:rPr>
      </w:pPr>
      <w:r w:rsidRPr="00B13223">
        <w:rPr>
          <w:color w:val="2F5496" w:themeColor="accent1" w:themeShade="BF"/>
        </w:rPr>
        <w:t>toch is er met het bepalen van de afstand op 135 meter geen rekening gehouden met de aan te houden afstand (= &gt; dan de tiphoogte).</w:t>
      </w:r>
    </w:p>
    <w:p w:rsidR="00917A72" w:rsidRPr="00B13223" w:rsidRDefault="00917A72" w:rsidP="00917A72">
      <w:pPr>
        <w:pStyle w:val="Lijstalinea"/>
        <w:numPr>
          <w:ilvl w:val="1"/>
          <w:numId w:val="2"/>
        </w:numPr>
        <w:rPr>
          <w:color w:val="2F5496" w:themeColor="accent1" w:themeShade="BF"/>
        </w:rPr>
      </w:pPr>
      <w:r w:rsidRPr="00B13223">
        <w:rPr>
          <w:color w:val="2F5496" w:themeColor="accent1" w:themeShade="BF"/>
        </w:rPr>
        <w:t xml:space="preserve">Ligt het op beperkte afstand van buisleidingen en hoogspanningsmasten </w:t>
      </w:r>
    </w:p>
    <w:p w:rsidR="00917A72" w:rsidRPr="00B13223" w:rsidRDefault="00917A72" w:rsidP="00917A72">
      <w:pPr>
        <w:pStyle w:val="Lijstalinea"/>
        <w:numPr>
          <w:ilvl w:val="1"/>
          <w:numId w:val="2"/>
        </w:numPr>
        <w:rPr>
          <w:color w:val="2F5496" w:themeColor="accent1" w:themeShade="BF"/>
        </w:rPr>
      </w:pPr>
      <w:r w:rsidRPr="00B13223">
        <w:rPr>
          <w:color w:val="2F5496" w:themeColor="accent1" w:themeShade="BF"/>
        </w:rPr>
        <w:t>Negeert men de ca. 1000 gasflessen op het complex</w:t>
      </w:r>
      <w:r w:rsidR="00FB01E6" w:rsidRPr="00B13223">
        <w:rPr>
          <w:color w:val="2F5496" w:themeColor="accent1" w:themeShade="BF"/>
        </w:rPr>
        <w:t xml:space="preserve"> (een doorlopend explosie gevaar over het gehele complexs.)</w:t>
      </w:r>
    </w:p>
    <w:p w:rsidR="00FB01E6" w:rsidRPr="00B13223" w:rsidRDefault="00FB01E6" w:rsidP="00917A72">
      <w:pPr>
        <w:pStyle w:val="Lijstalinea"/>
        <w:numPr>
          <w:ilvl w:val="1"/>
          <w:numId w:val="2"/>
        </w:numPr>
        <w:rPr>
          <w:color w:val="2F5496" w:themeColor="accent1" w:themeShade="BF"/>
        </w:rPr>
      </w:pPr>
      <w:r w:rsidRPr="00B13223">
        <w:rPr>
          <w:color w:val="2F5496" w:themeColor="accent1" w:themeShade="BF"/>
        </w:rPr>
        <w:t>Liggen andere locaties het naast het Amsterdam Rijnkanaal met vervoer van gevaarlijke stoffen Naast rijkswegen en spoorwegen</w:t>
      </w:r>
    </w:p>
    <w:p w:rsidR="00E4775B" w:rsidRDefault="00E4775B" w:rsidP="00E4775B">
      <w:pPr>
        <w:pStyle w:val="Lijstalinea"/>
      </w:pPr>
    </w:p>
    <w:p w:rsidR="00E4775B" w:rsidRDefault="00205D28" w:rsidP="00AB2CF4">
      <w:pPr>
        <w:pStyle w:val="Lijstalinea"/>
        <w:numPr>
          <w:ilvl w:val="0"/>
          <w:numId w:val="2"/>
        </w:numPr>
        <w:ind w:left="360"/>
      </w:pPr>
      <w:r>
        <w:lastRenderedPageBreak/>
        <w:t>Het dichtstbijzijnde hoogspanningsstation is Diemen. Het indicatieve kabeltracé naar de dichtstbijzijnde windturbine ligt op ca. 2,4 km afstand. Daarnaast dienden de windturbines onderling met elkaar verbonden te worden. Er vindt dus doorkruising door graafwerkzaamheden plaats van waardevolle gebieden, zoals NNN, Ecologische structuur en Bijzonder Provinciaal Landschap</w:t>
      </w:r>
    </w:p>
    <w:p w:rsidR="00205D28" w:rsidRDefault="00205D28" w:rsidP="00205D28">
      <w:pPr>
        <w:pStyle w:val="Lijstalinea"/>
      </w:pPr>
    </w:p>
    <w:p w:rsidR="00205D28" w:rsidRDefault="00205D28" w:rsidP="00AB2CF4">
      <w:pPr>
        <w:pStyle w:val="Lijstalinea"/>
        <w:numPr>
          <w:ilvl w:val="0"/>
          <w:numId w:val="2"/>
        </w:numPr>
        <w:ind w:left="360"/>
      </w:pPr>
      <w:r>
        <w:t xml:space="preserve">Aansluiting in 2030 is mogelijk, maar vereist aanzienlijke netinvestering. </w:t>
      </w:r>
    </w:p>
    <w:p w:rsidR="00FB01E6" w:rsidRDefault="00FB01E6" w:rsidP="00FB01E6">
      <w:pPr>
        <w:pStyle w:val="Lijstalinea"/>
      </w:pPr>
    </w:p>
    <w:p w:rsidR="00FB01E6" w:rsidRDefault="00FB01E6" w:rsidP="00AB2CF4">
      <w:pPr>
        <w:pStyle w:val="Lijstalinea"/>
        <w:numPr>
          <w:ilvl w:val="0"/>
          <w:numId w:val="2"/>
        </w:numPr>
        <w:ind w:left="360"/>
      </w:pPr>
      <w:r>
        <w:t>Effecten op nabij gelegen Natura 2000 gebie</w:t>
      </w:r>
      <w:r w:rsidR="001168B7">
        <w:t>d: geen overdraai wel binnen foerageerafstand</w:t>
      </w:r>
    </w:p>
    <w:p w:rsidR="001168B7" w:rsidRDefault="001168B7" w:rsidP="001168B7">
      <w:pPr>
        <w:pStyle w:val="Lijstalinea"/>
      </w:pPr>
    </w:p>
    <w:p w:rsidR="001168B7" w:rsidRDefault="001168B7" w:rsidP="00AB2CF4">
      <w:pPr>
        <w:pStyle w:val="Lijstalinea"/>
        <w:numPr>
          <w:ilvl w:val="0"/>
          <w:numId w:val="2"/>
        </w:numPr>
        <w:ind w:left="360"/>
      </w:pPr>
      <w:r>
        <w:t>Effecten op NNN en natuurverbindingen: ernstige aantasting (ligging in NNN gebied)</w:t>
      </w:r>
    </w:p>
    <w:p w:rsidR="001168B7" w:rsidRDefault="001168B7" w:rsidP="001168B7">
      <w:pPr>
        <w:pStyle w:val="Lijstalinea"/>
      </w:pPr>
    </w:p>
    <w:p w:rsidR="001168B7" w:rsidRPr="000667AF" w:rsidRDefault="001168B7" w:rsidP="001168B7">
      <w:pPr>
        <w:pStyle w:val="Lijstalinea"/>
        <w:numPr>
          <w:ilvl w:val="0"/>
          <w:numId w:val="2"/>
        </w:numPr>
        <w:ind w:left="360"/>
        <w:rPr>
          <w:color w:val="2F5496" w:themeColor="accent1" w:themeShade="BF"/>
        </w:rPr>
      </w:pPr>
      <w:r>
        <w:t xml:space="preserve">Weidevogelgebieden: </w:t>
      </w:r>
      <w:r w:rsidR="000667AF">
        <w:t xml:space="preserve">ligging op meer dan 200 meter van weidevogelgebieden.  </w:t>
      </w:r>
      <w:r w:rsidR="000667AF" w:rsidRPr="000667AF">
        <w:rPr>
          <w:color w:val="2F5496" w:themeColor="accent1" w:themeShade="BF"/>
        </w:rPr>
        <w:t xml:space="preserve">(Dit is niet waar door de recente aanleg </w:t>
      </w:r>
      <w:r w:rsidR="000667AF">
        <w:rPr>
          <w:color w:val="2F5496" w:themeColor="accent1" w:themeShade="BF"/>
        </w:rPr>
        <w:t>door</w:t>
      </w:r>
      <w:r w:rsidR="000667AF" w:rsidRPr="000667AF">
        <w:rPr>
          <w:color w:val="2F5496" w:themeColor="accent1" w:themeShade="BF"/>
        </w:rPr>
        <w:t xml:space="preserve"> de provincie van dit soort gebieden achter Linnaeus. </w:t>
      </w:r>
    </w:p>
    <w:p w:rsidR="001168B7" w:rsidRDefault="001168B7" w:rsidP="001168B7">
      <w:pPr>
        <w:pStyle w:val="Lijstalinea"/>
      </w:pPr>
    </w:p>
    <w:p w:rsidR="001168B7" w:rsidRPr="00B13223" w:rsidRDefault="001168B7" w:rsidP="001168B7">
      <w:pPr>
        <w:pStyle w:val="Lijstalinea"/>
        <w:numPr>
          <w:ilvl w:val="0"/>
          <w:numId w:val="2"/>
        </w:numPr>
        <w:ind w:left="360"/>
        <w:rPr>
          <w:color w:val="2F5496" w:themeColor="accent1" w:themeShade="BF"/>
        </w:rPr>
      </w:pPr>
      <w:r>
        <w:t>Ganzen</w:t>
      </w:r>
      <w:r w:rsidR="001C3E5A">
        <w:t>foerageergebieden: geringe aantasting, ligging wel binnen verstoringsafstand en/ of vliegroute</w:t>
      </w:r>
      <w:r w:rsidR="00B13223">
        <w:t xml:space="preserve">. </w:t>
      </w:r>
      <w:r w:rsidR="00B13223" w:rsidRPr="00B13223">
        <w:rPr>
          <w:color w:val="2F5496" w:themeColor="accent1" w:themeShade="BF"/>
        </w:rPr>
        <w:t>De trek tussen het rust en foerageergebied is juist het kwetsbare punt.</w:t>
      </w:r>
    </w:p>
    <w:p w:rsidR="001C3E5A" w:rsidRDefault="001C3E5A" w:rsidP="001C3E5A">
      <w:pPr>
        <w:pStyle w:val="Lijstalinea"/>
      </w:pPr>
    </w:p>
    <w:p w:rsidR="001C3E5A" w:rsidRDefault="001C3E5A" w:rsidP="001168B7">
      <w:pPr>
        <w:pStyle w:val="Lijstalinea"/>
        <w:numPr>
          <w:ilvl w:val="0"/>
          <w:numId w:val="2"/>
        </w:numPr>
        <w:ind w:left="360"/>
      </w:pPr>
      <w:r>
        <w:t>Ernstige aantasting op de ecologische structuur en passages.</w:t>
      </w:r>
    </w:p>
    <w:p w:rsidR="001C3E5A" w:rsidRDefault="001C3E5A" w:rsidP="001C3E5A">
      <w:pPr>
        <w:pStyle w:val="Lijstalinea"/>
      </w:pPr>
    </w:p>
    <w:p w:rsidR="001C3E5A" w:rsidRDefault="001C3E5A" w:rsidP="001168B7">
      <w:pPr>
        <w:pStyle w:val="Lijstalinea"/>
        <w:numPr>
          <w:ilvl w:val="0"/>
          <w:numId w:val="2"/>
        </w:numPr>
        <w:ind w:left="360"/>
      </w:pPr>
      <w:r>
        <w:t>Een gering aantasting overdraai over compensatiegebieden</w:t>
      </w:r>
    </w:p>
    <w:p w:rsidR="001C3E5A" w:rsidRDefault="001C3E5A" w:rsidP="001C3E5A">
      <w:pPr>
        <w:pStyle w:val="Lijstalinea"/>
      </w:pPr>
    </w:p>
    <w:p w:rsidR="001C3E5A" w:rsidRPr="003614DD" w:rsidRDefault="001C3E5A" w:rsidP="001168B7">
      <w:pPr>
        <w:pStyle w:val="Lijstalinea"/>
        <w:numPr>
          <w:ilvl w:val="0"/>
          <w:numId w:val="2"/>
        </w:numPr>
        <w:ind w:left="360"/>
        <w:rPr>
          <w:color w:val="2F5496" w:themeColor="accent1" w:themeShade="BF"/>
        </w:rPr>
      </w:pPr>
      <w:r>
        <w:t>Er zijn 1-1000 individuen van kwetsbare soorten winter vogels aanwezig</w:t>
      </w:r>
      <w:r w:rsidR="003614DD">
        <w:t xml:space="preserve"> (</w:t>
      </w:r>
      <w:r w:rsidR="003614DD" w:rsidRPr="003614DD">
        <w:rPr>
          <w:color w:val="2F5496" w:themeColor="accent1" w:themeShade="BF"/>
        </w:rPr>
        <w:t>= onderrapportage</w:t>
      </w:r>
      <w:r w:rsidR="003614DD">
        <w:rPr>
          <w:color w:val="2F5496" w:themeColor="accent1" w:themeShade="BF"/>
        </w:rPr>
        <w:t>)</w:t>
      </w:r>
    </w:p>
    <w:p w:rsidR="001C3E5A" w:rsidRDefault="001C3E5A" w:rsidP="001C3E5A">
      <w:pPr>
        <w:pStyle w:val="Lijstalinea"/>
      </w:pPr>
    </w:p>
    <w:p w:rsidR="001C3E5A" w:rsidRDefault="001C3E5A" w:rsidP="001168B7">
      <w:pPr>
        <w:pStyle w:val="Lijstalinea"/>
        <w:numPr>
          <w:ilvl w:val="0"/>
          <w:numId w:val="2"/>
        </w:numPr>
        <w:ind w:left="360"/>
      </w:pPr>
      <w:r>
        <w:t xml:space="preserve">Er zijn 1-100 broedparen van kwetsbare vogelsoorten aanwezig. </w:t>
      </w:r>
      <w:r w:rsidR="003614DD">
        <w:t>(</w:t>
      </w:r>
      <w:r w:rsidR="003614DD" w:rsidRPr="003614DD">
        <w:rPr>
          <w:color w:val="2F5496" w:themeColor="accent1" w:themeShade="BF"/>
        </w:rPr>
        <w:t>= onderrapportage</w:t>
      </w:r>
      <w:r w:rsidR="003614DD">
        <w:rPr>
          <w:color w:val="2F5496" w:themeColor="accent1" w:themeShade="BF"/>
        </w:rPr>
        <w:t>)</w:t>
      </w:r>
    </w:p>
    <w:p w:rsidR="001C3E5A" w:rsidRDefault="001C3E5A" w:rsidP="001C3E5A">
      <w:pPr>
        <w:pStyle w:val="Lijstalinea"/>
      </w:pPr>
    </w:p>
    <w:p w:rsidR="001C3E5A" w:rsidRDefault="001C3E5A" w:rsidP="001168B7">
      <w:pPr>
        <w:pStyle w:val="Lijstalinea"/>
        <w:numPr>
          <w:ilvl w:val="0"/>
          <w:numId w:val="2"/>
        </w:numPr>
        <w:ind w:left="360"/>
      </w:pPr>
      <w:r>
        <w:t>Er is een gemiddelde treksterkte van trekvogels over dit gebied</w:t>
      </w:r>
    </w:p>
    <w:p w:rsidR="001C3E5A" w:rsidRDefault="001C3E5A" w:rsidP="001C3E5A">
      <w:pPr>
        <w:pStyle w:val="Lijstalinea"/>
      </w:pPr>
    </w:p>
    <w:p w:rsidR="001C3E5A" w:rsidRDefault="001C3E5A" w:rsidP="001168B7">
      <w:pPr>
        <w:pStyle w:val="Lijstalinea"/>
        <w:numPr>
          <w:ilvl w:val="0"/>
          <w:numId w:val="2"/>
        </w:numPr>
        <w:ind w:left="360"/>
      </w:pPr>
      <w:r>
        <w:t xml:space="preserve">Er zijn veel registraties en waarnemingen van </w:t>
      </w:r>
      <w:r w:rsidR="00BF3D59">
        <w:t xml:space="preserve">beschermde </w:t>
      </w:r>
      <w:r>
        <w:t>vleermuizen /verblijfsplaatsen binnen 200 meter van het zoekgebied.</w:t>
      </w:r>
    </w:p>
    <w:p w:rsidR="001C3E5A" w:rsidRDefault="001C3E5A" w:rsidP="001C3E5A">
      <w:pPr>
        <w:pStyle w:val="Lijstalinea"/>
      </w:pPr>
    </w:p>
    <w:p w:rsidR="001C3E5A" w:rsidRDefault="001C3E5A" w:rsidP="001168B7">
      <w:pPr>
        <w:pStyle w:val="Lijstalinea"/>
        <w:numPr>
          <w:ilvl w:val="0"/>
          <w:numId w:val="2"/>
        </w:numPr>
        <w:ind w:left="360"/>
      </w:pPr>
      <w:r>
        <w:t>Er zijn beschermde soorten van het Amsterdamse beleidssoorten aanwezig</w:t>
      </w:r>
    </w:p>
    <w:p w:rsidR="001C3E5A" w:rsidRDefault="001C3E5A" w:rsidP="001C3E5A">
      <w:pPr>
        <w:pStyle w:val="Lijstalinea"/>
      </w:pPr>
    </w:p>
    <w:p w:rsidR="001C3E5A" w:rsidRDefault="001C3E5A" w:rsidP="001168B7">
      <w:pPr>
        <w:pStyle w:val="Lijstalinea"/>
        <w:numPr>
          <w:ilvl w:val="0"/>
          <w:numId w:val="2"/>
        </w:numPr>
        <w:ind w:left="360"/>
      </w:pPr>
      <w:r>
        <w:t xml:space="preserve">Er zijn overige beschermde soorten </w:t>
      </w:r>
      <w:r w:rsidR="00A257D8">
        <w:t>in</w:t>
      </w:r>
      <w:r>
        <w:t xml:space="preserve"> het zoekgebied aanwezig</w:t>
      </w:r>
    </w:p>
    <w:p w:rsidR="0044386D" w:rsidRDefault="0044386D" w:rsidP="0044386D"/>
    <w:p w:rsidR="007455D7" w:rsidRDefault="007455D7" w:rsidP="0044386D"/>
    <w:sectPr w:rsidR="007455D7" w:rsidSect="00B13223">
      <w:pgSz w:w="11906" w:h="16838"/>
      <w:pgMar w:top="11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00E"/>
    <w:multiLevelType w:val="hybridMultilevel"/>
    <w:tmpl w:val="517C66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9147F8"/>
    <w:multiLevelType w:val="hybridMultilevel"/>
    <w:tmpl w:val="E2DEFBD8"/>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2168197">
    <w:abstractNumId w:val="0"/>
  </w:num>
  <w:num w:numId="2" w16cid:durableId="808208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F4"/>
    <w:rsid w:val="000667AF"/>
    <w:rsid w:val="001168B7"/>
    <w:rsid w:val="001C3E5A"/>
    <w:rsid w:val="00205D28"/>
    <w:rsid w:val="003614DD"/>
    <w:rsid w:val="00367484"/>
    <w:rsid w:val="003E278B"/>
    <w:rsid w:val="0044386D"/>
    <w:rsid w:val="007455D7"/>
    <w:rsid w:val="008642BC"/>
    <w:rsid w:val="00917A72"/>
    <w:rsid w:val="00A257D8"/>
    <w:rsid w:val="00AB2CF4"/>
    <w:rsid w:val="00B13223"/>
    <w:rsid w:val="00BF3D59"/>
    <w:rsid w:val="00E4775B"/>
    <w:rsid w:val="00EE4FFF"/>
    <w:rsid w:val="00FB01E6"/>
    <w:rsid w:val="00FD19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42EC6E"/>
  <w15:chartTrackingRefBased/>
  <w15:docId w15:val="{589647E5-0D50-C844-A1D2-075D967BC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2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661</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Ankie Koning</dc:creator>
  <cp:keywords/>
  <dc:description/>
  <cp:lastModifiedBy>Ankie Koning</cp:lastModifiedBy>
  <cp:revision>3</cp:revision>
  <cp:lastPrinted>2024-07-05T18:44:00Z</cp:lastPrinted>
  <dcterms:created xsi:type="dcterms:W3CDTF">2024-07-07T10:57:00Z</dcterms:created>
  <dcterms:modified xsi:type="dcterms:W3CDTF">2024-07-07T10:58:00Z</dcterms:modified>
</cp:coreProperties>
</file>